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9C6A10" w:rsidTr="00AE0CF8">
        <w:tc>
          <w:tcPr>
            <w:tcW w:w="5635" w:type="dxa"/>
          </w:tcPr>
          <w:p w:rsidR="009C6A10" w:rsidRPr="0039398A" w:rsidRDefault="009C6A10" w:rsidP="00AE0CF8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تصميم وتنفيذ نظام للتعرف على الكلمات العربية المكتوبة بخط اليد مع قدرة النظام على التعلم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9C6A10" w:rsidTr="00AE0CF8">
        <w:tc>
          <w:tcPr>
            <w:tcW w:w="5635" w:type="dxa"/>
          </w:tcPr>
          <w:p w:rsidR="009C6A10" w:rsidRPr="001F240C" w:rsidRDefault="009C6A10" w:rsidP="00AE0C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8"/>
              </w:rPr>
              <w:t>Design and Implementation of a  System  for Recognizing Arabic Handwritten Words With Learning Ability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التعرف على الكلمات العربية المكتوبة بخط اليد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sz w:val="24"/>
                <w:szCs w:val="28"/>
              </w:rPr>
              <w:t>Recognizing Arabic Handwritten Words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معهد إلينوي التقني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Illinois Institute of Technology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tabs>
                <w:tab w:val="left" w:pos="402"/>
              </w:tabs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1411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1991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التعرف على الكلمات العربية، مرحلة ما قبل المعالجة، مرحلة المعالجة، مرحلة ما بعد المعالجة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4"/>
                <w:szCs w:val="28"/>
              </w:rPr>
              <w:t>Recognizing handwritten Arabic words, Preprocessing phase, Processing phase, and Post processing phase.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9C6A10" w:rsidTr="00AE0CF8">
        <w:tc>
          <w:tcPr>
            <w:tcW w:w="5635" w:type="dxa"/>
          </w:tcPr>
          <w:p w:rsidR="009C6A10" w:rsidRDefault="009C6A10" w:rsidP="00AE0C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Thesis</w:t>
            </w:r>
          </w:p>
          <w:p w:rsidR="009C6A10" w:rsidRPr="00F424F9" w:rsidRDefault="009C6A10" w:rsidP="00AE0C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Illinois Institute of Technology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9C6A10" w:rsidTr="00AE0CF8">
        <w:tc>
          <w:tcPr>
            <w:tcW w:w="5635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928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9C6A10" w:rsidTr="00AE0CF8">
        <w:tc>
          <w:tcPr>
            <w:tcW w:w="5635" w:type="dxa"/>
          </w:tcPr>
          <w:p w:rsidR="009C6A10" w:rsidRPr="008A5605" w:rsidRDefault="009C6A10" w:rsidP="00AE0CF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تقدم رسالة الدكتوراه طريقة جديدة </w:t>
            </w:r>
            <w:r w:rsidRPr="00D020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لتقسيم الكلمات العربية المكتوبة بخط اليد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والتعرف عليها. ويتم التعرف</w:t>
            </w:r>
            <w:r w:rsidRPr="00D020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عن طريق استخدام الصفات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البنائية</w:t>
            </w:r>
            <w:r w:rsidRPr="00D020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المميزة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الموزعة على نوافذ في أصغر مستطيل محيط بكل حرف من الحروف  بعد تقسيم الكلمة إليها. تتضمن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مرحلة ما قبل المعالجة إزالة الشوائب في الصورة وكذلك عملية التنحيف بالإضافة إلى حل مشكلة  تداخل الحروف.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9C6A10" w:rsidTr="00AE0CF8">
        <w:trPr>
          <w:trHeight w:val="576"/>
        </w:trPr>
        <w:tc>
          <w:tcPr>
            <w:tcW w:w="5635" w:type="dxa"/>
          </w:tcPr>
          <w:p w:rsidR="009C6A10" w:rsidRDefault="009C6A10" w:rsidP="00AE0CF8">
            <w:pPr>
              <w:pStyle w:val="ListParagraph"/>
              <w:ind w:left="0"/>
              <w:jc w:val="both"/>
            </w:pPr>
            <w:r>
              <w:t xml:space="preserve">This Ph.D. thesis gives a new technique for </w:t>
            </w:r>
            <w:r>
              <w:rPr>
                <w:sz w:val="24"/>
                <w:szCs w:val="28"/>
              </w:rPr>
              <w:t xml:space="preserve">segmenting handwritten Arabic words and recognizing them. Recognition done </w:t>
            </w:r>
            <w:r>
              <w:t xml:space="preserve">by </w:t>
            </w:r>
            <w:r>
              <w:rPr>
                <w:sz w:val="24"/>
                <w:szCs w:val="28"/>
              </w:rPr>
              <w:t>using structural features distributed among windows in the smallest rectangle surrounding each character after segmenting the word</w:t>
            </w:r>
            <w:r>
              <w:t>.</w:t>
            </w:r>
          </w:p>
          <w:p w:rsidR="009C6A10" w:rsidRPr="00D020E4" w:rsidRDefault="009C6A10" w:rsidP="00AE0CF8">
            <w:pPr>
              <w:pStyle w:val="ListParagraph"/>
              <w:ind w:left="0"/>
              <w:jc w:val="both"/>
              <w:rPr>
                <w:rtl/>
              </w:rPr>
            </w:pPr>
            <w:r>
              <w:rPr>
                <w:sz w:val="24"/>
                <w:szCs w:val="28"/>
              </w:rPr>
              <w:t>Preprocessing phase</w:t>
            </w:r>
            <w:r>
              <w:t xml:space="preserve"> includes removing of noise, thinning and resolving the problem of overlapping.</w:t>
            </w:r>
          </w:p>
        </w:tc>
        <w:tc>
          <w:tcPr>
            <w:tcW w:w="4928" w:type="dxa"/>
          </w:tcPr>
          <w:p w:rsidR="009C6A10" w:rsidRPr="00F424F9" w:rsidRDefault="009C6A10" w:rsidP="00AE0CF8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9C6A10" w:rsidRPr="00F424F9" w:rsidRDefault="009C6A10" w:rsidP="00AE0CF8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A10"/>
    <w:rsid w:val="0020528F"/>
    <w:rsid w:val="003F3DAE"/>
    <w:rsid w:val="00454260"/>
    <w:rsid w:val="004B7B36"/>
    <w:rsid w:val="00511E78"/>
    <w:rsid w:val="005515C9"/>
    <w:rsid w:val="007C3F46"/>
    <w:rsid w:val="009C6A10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2011-03-21T10:25:00Z</dcterms:created>
  <dcterms:modified xsi:type="dcterms:W3CDTF">2011-03-21T10:25:00Z</dcterms:modified>
</cp:coreProperties>
</file>